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BB3" w:rsidRPr="0099494F" w:rsidRDefault="00CB7BB3" w:rsidP="00CB7BB3">
      <w:pPr>
        <w:pStyle w:val="Heading1"/>
        <w:ind w:left="5760"/>
        <w:rPr>
          <w:rStyle w:val="ax1"/>
          <w:rFonts w:asciiTheme="majorBidi" w:hAnsiTheme="majorBidi" w:cstheme="majorBidi"/>
          <w:b w:val="0"/>
          <w:bCs/>
          <w:iCs/>
          <w:color w:val="000000"/>
          <w:sz w:val="24"/>
          <w:szCs w:val="24"/>
          <w:lang w:val="ro-RO"/>
        </w:rPr>
      </w:pPr>
      <w:bookmarkStart w:id="0" w:name="_Toc490917329"/>
      <w:bookmarkStart w:id="1" w:name="_Toc492285778"/>
      <w:bookmarkStart w:id="2" w:name="_Toc495395261"/>
      <w:r w:rsidRPr="0099494F">
        <w:rPr>
          <w:rStyle w:val="ax1"/>
          <w:rFonts w:asciiTheme="majorBidi" w:hAnsiTheme="majorBidi" w:cstheme="majorBidi"/>
          <w:b w:val="0"/>
          <w:bCs/>
          <w:iCs/>
          <w:color w:val="000000"/>
          <w:sz w:val="24"/>
          <w:szCs w:val="24"/>
          <w:lang w:val="ro-RO"/>
        </w:rPr>
        <w:t>Anexa nr. 2</w:t>
      </w:r>
      <w:bookmarkEnd w:id="0"/>
      <w:bookmarkEnd w:id="1"/>
      <w:bookmarkEnd w:id="2"/>
      <w:r w:rsidRPr="0099494F">
        <w:rPr>
          <w:rStyle w:val="ax1"/>
          <w:rFonts w:asciiTheme="majorBidi" w:hAnsiTheme="majorBidi" w:cstheme="majorBidi"/>
          <w:b w:val="0"/>
          <w:bCs/>
          <w:iCs/>
          <w:color w:val="000000"/>
          <w:sz w:val="24"/>
          <w:szCs w:val="24"/>
          <w:lang w:val="ro-RO"/>
        </w:rPr>
        <w:t xml:space="preserve"> </w:t>
      </w:r>
    </w:p>
    <w:p w:rsidR="00CB7BB3" w:rsidRPr="0099494F" w:rsidRDefault="00CB7BB3" w:rsidP="00CB7BB3">
      <w:pPr>
        <w:tabs>
          <w:tab w:val="left" w:pos="1134"/>
        </w:tabs>
        <w:ind w:left="4320"/>
        <w:rPr>
          <w:rFonts w:asciiTheme="majorBidi" w:hAnsiTheme="majorBidi" w:cstheme="majorBidi"/>
          <w:color w:val="000000"/>
          <w:sz w:val="24"/>
          <w:szCs w:val="24"/>
          <w:shd w:val="clear" w:color="auto" w:fill="FFFFFF"/>
          <w:lang w:val="ro-RO"/>
        </w:rPr>
      </w:pPr>
      <w:r w:rsidRPr="0099494F">
        <w:rPr>
          <w:rFonts w:asciiTheme="majorBidi" w:hAnsiTheme="majorBidi" w:cstheme="majorBidi"/>
          <w:sz w:val="24"/>
          <w:szCs w:val="24"/>
          <w:lang w:val="ro-RO" w:eastAsia="ru-RU"/>
        </w:rPr>
        <w:t xml:space="preserve">la </w:t>
      </w:r>
      <w:r w:rsidRPr="0099494F">
        <w:rPr>
          <w:rFonts w:asciiTheme="majorBidi" w:hAnsiTheme="majorBidi" w:cstheme="majorBidi"/>
          <w:color w:val="000000"/>
          <w:sz w:val="24"/>
          <w:szCs w:val="24"/>
          <w:shd w:val="clear" w:color="auto" w:fill="FFFFFF"/>
          <w:lang w:val="ro-RO"/>
        </w:rPr>
        <w:t xml:space="preserve">Regulamentul privind deșeurile </w:t>
      </w:r>
    </w:p>
    <w:p w:rsidR="00CB7BB3" w:rsidRPr="0099494F" w:rsidRDefault="00CB7BB3" w:rsidP="00CB7BB3">
      <w:pPr>
        <w:tabs>
          <w:tab w:val="left" w:pos="1134"/>
        </w:tabs>
        <w:ind w:left="4320"/>
        <w:rPr>
          <w:rFonts w:asciiTheme="majorBidi" w:hAnsiTheme="majorBidi" w:cstheme="majorBidi"/>
          <w:sz w:val="24"/>
          <w:szCs w:val="24"/>
          <w:lang w:val="ro-RO" w:eastAsia="ru-RU"/>
        </w:rPr>
      </w:pPr>
      <w:r w:rsidRPr="0099494F">
        <w:rPr>
          <w:rFonts w:asciiTheme="majorBidi" w:hAnsiTheme="majorBidi" w:cstheme="majorBidi"/>
          <w:color w:val="000000"/>
          <w:sz w:val="24"/>
          <w:szCs w:val="24"/>
          <w:shd w:val="clear" w:color="auto" w:fill="FFFFFF"/>
          <w:lang w:val="ro-RO"/>
        </w:rPr>
        <w:t>de echipamente electrice și electronice</w:t>
      </w:r>
    </w:p>
    <w:p w:rsidR="00CB7BB3" w:rsidRPr="0099494F" w:rsidRDefault="00CB7BB3" w:rsidP="00CB7BB3">
      <w:pPr>
        <w:tabs>
          <w:tab w:val="left" w:pos="1134"/>
        </w:tabs>
        <w:ind w:firstLine="709"/>
        <w:rPr>
          <w:rFonts w:asciiTheme="majorBidi" w:hAnsiTheme="majorBidi" w:cstheme="majorBidi"/>
          <w:sz w:val="24"/>
          <w:szCs w:val="24"/>
          <w:lang w:val="ro-RO" w:eastAsia="ru-RU"/>
        </w:rPr>
      </w:pPr>
    </w:p>
    <w:p w:rsidR="00CB7BB3" w:rsidRPr="0099494F" w:rsidRDefault="00CB7BB3" w:rsidP="00CB7BB3">
      <w:pPr>
        <w:rPr>
          <w:rFonts w:asciiTheme="majorBidi" w:hAnsiTheme="majorBidi" w:cstheme="majorBidi"/>
          <w:sz w:val="28"/>
          <w:szCs w:val="28"/>
          <w:lang w:val="ro-RO" w:eastAsia="ru-RU"/>
        </w:rPr>
      </w:pPr>
    </w:p>
    <w:p w:rsidR="00CB7BB3" w:rsidRPr="0099494F" w:rsidRDefault="00CB7BB3" w:rsidP="00CB7BB3">
      <w:pPr>
        <w:ind w:firstLine="709"/>
        <w:jc w:val="center"/>
        <w:rPr>
          <w:rFonts w:asciiTheme="majorBidi" w:hAnsiTheme="majorBidi" w:cstheme="majorBidi"/>
          <w:b/>
          <w:color w:val="000000"/>
          <w:sz w:val="28"/>
          <w:szCs w:val="28"/>
          <w:lang w:val="ro-RO"/>
        </w:rPr>
      </w:pPr>
      <w:r w:rsidRPr="0099494F">
        <w:rPr>
          <w:rFonts w:asciiTheme="majorBidi" w:hAnsiTheme="majorBidi" w:cstheme="majorBidi"/>
          <w:b/>
          <w:color w:val="000000"/>
          <w:sz w:val="28"/>
          <w:szCs w:val="28"/>
          <w:lang w:val="ro-RO"/>
        </w:rPr>
        <w:t>CERINȚELE</w:t>
      </w:r>
    </w:p>
    <w:p w:rsidR="00CB7BB3" w:rsidRPr="0099494F" w:rsidRDefault="00CB7BB3" w:rsidP="00CB7BB3">
      <w:pPr>
        <w:ind w:firstLine="709"/>
        <w:jc w:val="center"/>
        <w:rPr>
          <w:rFonts w:asciiTheme="majorBidi" w:hAnsiTheme="majorBidi" w:cstheme="majorBidi"/>
          <w:b/>
          <w:color w:val="000000"/>
          <w:sz w:val="28"/>
          <w:szCs w:val="28"/>
          <w:lang w:val="ro-RO"/>
        </w:rPr>
      </w:pPr>
      <w:r w:rsidRPr="0099494F">
        <w:rPr>
          <w:rFonts w:asciiTheme="majorBidi" w:hAnsiTheme="majorBidi" w:cstheme="majorBidi"/>
          <w:b/>
          <w:color w:val="000000"/>
          <w:sz w:val="28"/>
          <w:szCs w:val="28"/>
          <w:lang w:val="ro-RO"/>
        </w:rPr>
        <w:t xml:space="preserve">privind utilizarea metalelor grele precum: plumbul, mercurul, </w:t>
      </w:r>
    </w:p>
    <w:p w:rsidR="00CB7BB3" w:rsidRPr="0099494F" w:rsidRDefault="00CB7BB3" w:rsidP="00CB7BB3">
      <w:pPr>
        <w:ind w:firstLine="709"/>
        <w:jc w:val="center"/>
        <w:rPr>
          <w:rFonts w:asciiTheme="majorBidi" w:hAnsiTheme="majorBidi" w:cstheme="majorBidi"/>
          <w:b/>
          <w:color w:val="000000"/>
          <w:sz w:val="28"/>
          <w:szCs w:val="28"/>
          <w:lang w:val="ro-RO"/>
        </w:rPr>
      </w:pPr>
      <w:r w:rsidRPr="0099494F">
        <w:rPr>
          <w:rFonts w:asciiTheme="majorBidi" w:hAnsiTheme="majorBidi" w:cstheme="majorBidi"/>
          <w:b/>
          <w:color w:val="000000"/>
          <w:sz w:val="28"/>
          <w:szCs w:val="28"/>
          <w:lang w:val="ro-RO"/>
        </w:rPr>
        <w:t xml:space="preserve">cadmiul și cromul hexavalent, care sînt exceptate de la prevederile </w:t>
      </w:r>
    </w:p>
    <w:p w:rsidR="00CB7BB3" w:rsidRPr="0099494F" w:rsidRDefault="00CB7BB3" w:rsidP="00CB7BB3">
      <w:pPr>
        <w:ind w:firstLine="709"/>
        <w:jc w:val="center"/>
        <w:rPr>
          <w:rFonts w:asciiTheme="majorBidi" w:hAnsiTheme="majorBidi" w:cstheme="majorBidi"/>
          <w:b/>
          <w:color w:val="000000"/>
          <w:sz w:val="28"/>
          <w:szCs w:val="28"/>
          <w:lang w:val="ro-RO"/>
        </w:rPr>
      </w:pPr>
      <w:r w:rsidRPr="0099494F">
        <w:rPr>
          <w:rFonts w:asciiTheme="majorBidi" w:hAnsiTheme="majorBidi" w:cstheme="majorBidi"/>
          <w:b/>
          <w:color w:val="000000"/>
          <w:sz w:val="28"/>
          <w:szCs w:val="28"/>
          <w:lang w:val="ro-RO"/>
        </w:rPr>
        <w:t>punctului 12 din Regulament</w:t>
      </w:r>
    </w:p>
    <w:p w:rsidR="00CB7BB3" w:rsidRPr="0099494F" w:rsidRDefault="00CB7BB3" w:rsidP="00CB7BB3">
      <w:pPr>
        <w:ind w:firstLine="709"/>
        <w:jc w:val="center"/>
        <w:rPr>
          <w:rFonts w:asciiTheme="majorBidi" w:hAnsiTheme="majorBidi" w:cstheme="majorBidi"/>
          <w:color w:val="000000"/>
          <w:sz w:val="28"/>
          <w:szCs w:val="28"/>
          <w:lang w:val="ro-RO"/>
        </w:rPr>
      </w:pPr>
    </w:p>
    <w:p w:rsidR="00CB7BB3" w:rsidRPr="0099494F" w:rsidRDefault="00CB7BB3" w:rsidP="00CB7BB3">
      <w:pPr>
        <w:ind w:firstLine="709"/>
        <w:jc w:val="center"/>
        <w:rPr>
          <w:rFonts w:asciiTheme="majorBidi" w:hAnsiTheme="majorBidi" w:cstheme="majorBidi"/>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1</w:t>
      </w:r>
      <w:r w:rsidRPr="0099494F">
        <w:rPr>
          <w:rFonts w:asciiTheme="majorBidi" w:hAnsiTheme="majorBidi" w:cstheme="majorBidi"/>
          <w:color w:val="000000"/>
          <w:sz w:val="28"/>
          <w:szCs w:val="28"/>
          <w:lang w:val="ro-RO"/>
        </w:rPr>
        <w:t>. Mercurul în lămpi compacte fluorescente, atunci cînd cantitatea acestuia nu depășește 5 mg per lampă.</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2.</w:t>
      </w:r>
      <w:r w:rsidRPr="0099494F">
        <w:rPr>
          <w:rFonts w:asciiTheme="majorBidi" w:hAnsiTheme="majorBidi" w:cstheme="majorBidi"/>
          <w:color w:val="000000"/>
          <w:sz w:val="28"/>
          <w:szCs w:val="28"/>
          <w:lang w:val="ro-RO"/>
        </w:rPr>
        <w:t xml:space="preserve"> Mercurul în lămpi fluorescente drepte, cu utilizare generală, atunci cînd:</w:t>
      </w: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color w:val="000000"/>
          <w:sz w:val="28"/>
          <w:szCs w:val="28"/>
          <w:lang w:val="ro-RO"/>
        </w:rPr>
        <w:t>1) cantitatea de fosfat halogenat nu depășește 10 mg;</w:t>
      </w: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color w:val="000000"/>
          <w:sz w:val="28"/>
          <w:szCs w:val="28"/>
          <w:lang w:val="ro-RO"/>
        </w:rPr>
        <w:t>2) cantitatea de trifosfat, cu durata de viață normală, nu depășește 5 mg;</w:t>
      </w: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color w:val="000000"/>
          <w:sz w:val="28"/>
          <w:szCs w:val="28"/>
          <w:lang w:val="ro-RO"/>
        </w:rPr>
        <w:t>3) cantitatea de trifosfat, cu durata de viață lungă, nu depășește 8 mg.</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3.</w:t>
      </w:r>
      <w:r w:rsidRPr="0099494F">
        <w:rPr>
          <w:rFonts w:asciiTheme="majorBidi" w:hAnsiTheme="majorBidi" w:cstheme="majorBidi"/>
          <w:color w:val="000000"/>
          <w:sz w:val="28"/>
          <w:szCs w:val="28"/>
          <w:lang w:val="ro-RO"/>
        </w:rPr>
        <w:t xml:space="preserve"> Mercurul în lămpi fluorescente drepte, cu utilizare specială.</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4.</w:t>
      </w:r>
      <w:r w:rsidRPr="0099494F">
        <w:rPr>
          <w:rFonts w:asciiTheme="majorBidi" w:hAnsiTheme="majorBidi" w:cstheme="majorBidi"/>
          <w:color w:val="000000"/>
          <w:sz w:val="28"/>
          <w:szCs w:val="28"/>
          <w:lang w:val="ro-RO"/>
        </w:rPr>
        <w:t xml:space="preserve"> Mercurul în alte tipuri de lămpi, care nu au fost menționate specific în prezenta anexă.</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5.</w:t>
      </w:r>
      <w:r w:rsidRPr="0099494F">
        <w:rPr>
          <w:rFonts w:asciiTheme="majorBidi" w:hAnsiTheme="majorBidi" w:cstheme="majorBidi"/>
          <w:color w:val="000000"/>
          <w:sz w:val="28"/>
          <w:szCs w:val="28"/>
          <w:lang w:val="ro-RO"/>
        </w:rPr>
        <w:t xml:space="preserve"> Plumbul în sticla tuburilor cu raze catodice, în componentele electronice și în tuburile fluorescente.</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6.</w:t>
      </w:r>
      <w:r w:rsidRPr="0099494F">
        <w:rPr>
          <w:rFonts w:asciiTheme="majorBidi" w:hAnsiTheme="majorBidi" w:cstheme="majorBidi"/>
          <w:color w:val="000000"/>
          <w:sz w:val="28"/>
          <w:szCs w:val="28"/>
          <w:lang w:val="ro-RO"/>
        </w:rPr>
        <w:t xml:space="preserve"> Plumbul ca element de aliere în oțel cu conținut de plumb pînă la 0,35% în greutate, aliaj cu aluminiu cu conținut de plumb pînă la 0,4% în greutate și aliaj de cupru cu conținut de plumb pînă la 4% în greutate.</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7.</w:t>
      </w:r>
      <w:r w:rsidRPr="0099494F">
        <w:rPr>
          <w:rFonts w:asciiTheme="majorBidi" w:hAnsiTheme="majorBidi" w:cstheme="majorBidi"/>
          <w:color w:val="000000"/>
          <w:sz w:val="28"/>
          <w:szCs w:val="28"/>
          <w:lang w:val="ro-RO"/>
        </w:rPr>
        <w:t xml:space="preserve"> Plumbul în aliaje de lipit cu temperatura de topire înaltă (adică aliaje de lipit staniu-plumb avînd conținut de plumb mai mare de 85%), respectiv:</w:t>
      </w: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color w:val="000000"/>
          <w:sz w:val="28"/>
          <w:szCs w:val="28"/>
          <w:lang w:val="ro-RO"/>
        </w:rPr>
        <w:t>1) plumb, în aliaje de lipit pentru servere, sisteme de stocare și de rețele de stocare (exceptare acordată pînă în anul 2023);</w:t>
      </w: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color w:val="000000"/>
          <w:sz w:val="28"/>
          <w:szCs w:val="28"/>
          <w:lang w:val="ro-RO"/>
        </w:rPr>
        <w:t>2) plumbul în aliaje de lipit pentru echipamente de infrastructură de rețele pentru comutare, semnalizare, transmisie, precum și pentru gestionarea rețelelor de comunicații electronice;</w:t>
      </w: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color w:val="000000"/>
          <w:sz w:val="28"/>
          <w:szCs w:val="28"/>
          <w:lang w:val="ro-RO"/>
        </w:rPr>
        <w:t>3) plumbul în piese electronice din ceramică (de exemplu, dispozitive piezoelectrice).</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365F91" w:themeColor="accent1" w:themeShade="BF"/>
          <w:sz w:val="28"/>
          <w:szCs w:val="28"/>
          <w:lang w:val="ro-RO"/>
        </w:rPr>
      </w:pPr>
      <w:r w:rsidRPr="0099494F">
        <w:rPr>
          <w:rFonts w:asciiTheme="majorBidi" w:hAnsiTheme="majorBidi" w:cstheme="majorBidi"/>
          <w:b/>
          <w:color w:val="000000"/>
          <w:sz w:val="28"/>
          <w:szCs w:val="28"/>
          <w:lang w:val="ro-RO"/>
        </w:rPr>
        <w:lastRenderedPageBreak/>
        <w:t>8</w:t>
      </w:r>
      <w:r w:rsidRPr="0099494F">
        <w:rPr>
          <w:rFonts w:asciiTheme="majorBidi" w:hAnsiTheme="majorBidi" w:cstheme="majorBidi"/>
          <w:b/>
          <w:sz w:val="28"/>
          <w:szCs w:val="28"/>
          <w:lang w:val="ro-RO"/>
        </w:rPr>
        <w:t>.</w:t>
      </w:r>
      <w:r w:rsidRPr="0099494F">
        <w:rPr>
          <w:rFonts w:asciiTheme="majorBidi" w:hAnsiTheme="majorBidi" w:cstheme="majorBidi"/>
          <w:sz w:val="28"/>
          <w:szCs w:val="28"/>
          <w:lang w:val="ro-RO"/>
        </w:rPr>
        <w:t xml:space="preserve"> Placarea cu cadmiu. </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 9.</w:t>
      </w:r>
      <w:r w:rsidRPr="0099494F">
        <w:rPr>
          <w:rFonts w:asciiTheme="majorBidi" w:hAnsiTheme="majorBidi" w:cstheme="majorBidi"/>
          <w:color w:val="000000"/>
          <w:sz w:val="28"/>
          <w:szCs w:val="28"/>
          <w:lang w:val="ro-RO"/>
        </w:rPr>
        <w:t xml:space="preserve"> Cromul hexavalent ca anticoroziv pentru sistemele de răcire din oțel carbon ale frigiderelor cu absorbție.</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10</w:t>
      </w:r>
      <w:r w:rsidRPr="0099494F">
        <w:rPr>
          <w:rFonts w:asciiTheme="majorBidi" w:hAnsiTheme="majorBidi" w:cstheme="majorBidi"/>
          <w:color w:val="000000"/>
          <w:sz w:val="28"/>
          <w:szCs w:val="28"/>
          <w:lang w:val="ro-RO"/>
        </w:rPr>
        <w:t>. DecaBDE în aplicații polimerice.</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 xml:space="preserve">11. </w:t>
      </w:r>
      <w:r w:rsidRPr="0099494F">
        <w:rPr>
          <w:rFonts w:asciiTheme="majorBidi" w:hAnsiTheme="majorBidi" w:cstheme="majorBidi"/>
          <w:color w:val="000000"/>
          <w:sz w:val="28"/>
          <w:szCs w:val="28"/>
          <w:lang w:val="ro-RO"/>
        </w:rPr>
        <w:t xml:space="preserve">Plumbul în cuzineți și semicuzineți din bronz cu plumb. </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 xml:space="preserve">12. </w:t>
      </w:r>
      <w:r w:rsidRPr="0099494F">
        <w:rPr>
          <w:rFonts w:asciiTheme="majorBidi" w:hAnsiTheme="majorBidi" w:cstheme="majorBidi"/>
          <w:color w:val="000000"/>
          <w:sz w:val="28"/>
          <w:szCs w:val="28"/>
          <w:lang w:val="ro-RO"/>
        </w:rPr>
        <w:t>Plumbul utilizat în sistemele de conectori cu pini flexibili.</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13</w:t>
      </w:r>
      <w:r w:rsidRPr="0099494F">
        <w:rPr>
          <w:rFonts w:asciiTheme="majorBidi" w:hAnsiTheme="majorBidi" w:cstheme="majorBidi"/>
          <w:color w:val="000000"/>
          <w:sz w:val="28"/>
          <w:szCs w:val="28"/>
          <w:lang w:val="ro-RO"/>
        </w:rPr>
        <w:t xml:space="preserve">. Plumbul ca material de acoperire pentru inelele C ale modulelor termoconductoare. </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14</w:t>
      </w:r>
      <w:r w:rsidRPr="0099494F">
        <w:rPr>
          <w:rFonts w:asciiTheme="majorBidi" w:hAnsiTheme="majorBidi" w:cstheme="majorBidi"/>
          <w:color w:val="000000"/>
          <w:sz w:val="28"/>
          <w:szCs w:val="28"/>
          <w:lang w:val="ro-RO"/>
        </w:rPr>
        <w:t>. Plumbul și cadmiul în sticla optică și sticla filtrantă.</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 xml:space="preserve">15. </w:t>
      </w:r>
      <w:r w:rsidRPr="0099494F">
        <w:rPr>
          <w:rFonts w:asciiTheme="majorBidi" w:hAnsiTheme="majorBidi" w:cstheme="majorBidi"/>
          <w:color w:val="000000"/>
          <w:sz w:val="28"/>
          <w:szCs w:val="28"/>
          <w:lang w:val="ro-RO"/>
        </w:rPr>
        <w:t xml:space="preserve">Plumbul în aliajele de lipit constînd în mai mult de două elemente pentru conectarea dintre pini și carcasa microprocesoarelor cu un conținut de plumb cuprins între 80% și 85% în greutate. </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 xml:space="preserve">16. </w:t>
      </w:r>
      <w:r w:rsidRPr="0099494F">
        <w:rPr>
          <w:rFonts w:asciiTheme="majorBidi" w:hAnsiTheme="majorBidi" w:cstheme="majorBidi"/>
          <w:color w:val="000000"/>
          <w:sz w:val="28"/>
          <w:szCs w:val="28"/>
          <w:lang w:val="ro-RO"/>
        </w:rPr>
        <w:t xml:space="preserve">Plumbul în aliaje de lipit care vizează realizarea unei conexiuni electrice viabile între purtător și substratul semiconductorului în carcasele de circuit integrat tip FlipChip. </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17</w:t>
      </w:r>
      <w:r w:rsidRPr="0099494F">
        <w:rPr>
          <w:rFonts w:asciiTheme="majorBidi" w:hAnsiTheme="majorBidi" w:cstheme="majorBidi"/>
          <w:color w:val="000000"/>
          <w:sz w:val="28"/>
          <w:szCs w:val="28"/>
          <w:lang w:val="ro-RO"/>
        </w:rPr>
        <w:t>. Plumbul în lămpi lineare incandescente cu tuburi acoperite cu silicat.</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 xml:space="preserve">18. </w:t>
      </w:r>
      <w:r w:rsidRPr="0099494F">
        <w:rPr>
          <w:rFonts w:asciiTheme="majorBidi" w:hAnsiTheme="majorBidi" w:cstheme="majorBidi"/>
          <w:color w:val="000000"/>
          <w:sz w:val="28"/>
          <w:szCs w:val="28"/>
          <w:lang w:val="ro-RO"/>
        </w:rPr>
        <w:t xml:space="preserve">Halogenuri de plumb ca agent radiant în lămpi cu descărcare de intensitate înaltă(HID), utilizate în aplicații profesionale de reproducere sau multiplicare. </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 xml:space="preserve">19. </w:t>
      </w:r>
      <w:r w:rsidRPr="0099494F">
        <w:rPr>
          <w:rFonts w:asciiTheme="majorBidi" w:hAnsiTheme="majorBidi" w:cstheme="majorBidi"/>
          <w:color w:val="000000"/>
          <w:sz w:val="28"/>
          <w:szCs w:val="28"/>
          <w:lang w:val="ro-RO"/>
        </w:rPr>
        <w:t xml:space="preserve">Plumbul ca activator în pulberile fluorescente (cel mult 1% plumb în greutate) din lămpile cu descărcare, cînd sînt utilizate ca lămpi pentru bronzat conținînd fosfor sub formă de BSP (BaSi2O5:Pb) sau ca lămpi pentru situații speciale, cum ar fi pentru multiplicare prin diazoimprimare, litografie, capcane pentru insecte, procese fotochimice și de conservare conținînd fosfor ca SMS [(Sr,Ba)2MgSi2O7:Pb]. </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 xml:space="preserve">20. </w:t>
      </w:r>
      <w:r w:rsidRPr="0099494F">
        <w:rPr>
          <w:rFonts w:asciiTheme="majorBidi" w:hAnsiTheme="majorBidi" w:cstheme="majorBidi"/>
          <w:color w:val="000000"/>
          <w:sz w:val="28"/>
          <w:szCs w:val="28"/>
          <w:lang w:val="ro-RO"/>
        </w:rPr>
        <w:t xml:space="preserve">Plumbul cu PbBiSn-Hg și PbInSn-Hg în compoziții specifice ca amestec principal și PbSn-Hg ca amestec auxiliar în ESL, lămpi foarte compacte cu consum mic de energie. </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lastRenderedPageBreak/>
        <w:t xml:space="preserve">21. </w:t>
      </w:r>
      <w:r w:rsidRPr="0099494F">
        <w:rPr>
          <w:rFonts w:asciiTheme="majorBidi" w:hAnsiTheme="majorBidi" w:cstheme="majorBidi"/>
          <w:color w:val="000000"/>
          <w:sz w:val="28"/>
          <w:szCs w:val="28"/>
          <w:lang w:val="ro-RO"/>
        </w:rPr>
        <w:t xml:space="preserve">Oxidul de plumb în sticla utilizată pentru lierea substraturilor din fața și din spatele lămpilor fluorescente utilizate pentru ecranele cu cristale lichide (LCD). </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 xml:space="preserve">22. </w:t>
      </w:r>
      <w:r w:rsidRPr="0099494F">
        <w:rPr>
          <w:rFonts w:asciiTheme="majorBidi" w:hAnsiTheme="majorBidi" w:cstheme="majorBidi"/>
          <w:color w:val="000000"/>
          <w:sz w:val="28"/>
          <w:szCs w:val="28"/>
          <w:lang w:val="ro-RO"/>
        </w:rPr>
        <w:t>Plumbul și cadmiul în cerneala tipografică pentru aplicații ale emailului pe sticla borosilicată.</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 xml:space="preserve">23. </w:t>
      </w:r>
      <w:r w:rsidRPr="0099494F">
        <w:rPr>
          <w:rFonts w:asciiTheme="majorBidi" w:hAnsiTheme="majorBidi" w:cstheme="majorBidi"/>
          <w:color w:val="000000"/>
          <w:sz w:val="28"/>
          <w:szCs w:val="28"/>
          <w:lang w:val="ro-RO"/>
        </w:rPr>
        <w:t>Plumbul, ca impuritate, în rotoare Faraday cu granat ferifer pe bază de pămînturi rare, utilizate pentru sisteme de comunicație pe bază de fibră optică.</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 xml:space="preserve">24. </w:t>
      </w:r>
      <w:r w:rsidRPr="0099494F">
        <w:rPr>
          <w:rFonts w:asciiTheme="majorBidi" w:hAnsiTheme="majorBidi" w:cstheme="majorBidi"/>
          <w:color w:val="000000"/>
          <w:sz w:val="28"/>
          <w:szCs w:val="28"/>
          <w:lang w:val="ro-RO"/>
        </w:rPr>
        <w:t xml:space="preserve">Plumbul în acoperirile terminalelor componentelor fine-pitch de maximum 0,65 mm, altele decît conectori, cu structura (internă) terminalelor NiFe, sau plumbul în acoperirile terminalelor componentelor fine-pitch de maximum 0,65 mm, altele decît conectori, cu structura (internă) a terminalelor de cupru. </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 xml:space="preserve">25. </w:t>
      </w:r>
      <w:r w:rsidRPr="0099494F">
        <w:rPr>
          <w:rFonts w:asciiTheme="majorBidi" w:hAnsiTheme="majorBidi" w:cstheme="majorBidi"/>
          <w:color w:val="000000"/>
          <w:sz w:val="28"/>
          <w:szCs w:val="28"/>
          <w:lang w:val="ro-RO"/>
        </w:rPr>
        <w:t xml:space="preserve">Plumbul în aliajele de lipit pentru condensatoarele discoidale cu lipire în gaură și condensatoarele ceramice plane multistratificate. </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 xml:space="preserve">26. </w:t>
      </w:r>
      <w:r w:rsidRPr="0099494F">
        <w:rPr>
          <w:rFonts w:asciiTheme="majorBidi" w:hAnsiTheme="majorBidi" w:cstheme="majorBidi"/>
          <w:color w:val="000000"/>
          <w:sz w:val="28"/>
          <w:szCs w:val="28"/>
          <w:lang w:val="ro-RO"/>
        </w:rPr>
        <w:t xml:space="preserve">Oxidul de plumb în ecranele cu plasmă (PDP) și ecranele cu emisie de electroni pentru conducție de suprafață (SED) folosite în elemente structurale; mai ales în straturile de dielectric ale sticlei din față și spate, ale electrodului de bare colectoare, ale benzilor negre, ale electrodului de direcție, ale nervurilor de limitare, ale fritei de etanșare și inelului de sinterizare și, de asemenea, în pastele de imprimat. </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 xml:space="preserve">27. </w:t>
      </w:r>
      <w:r w:rsidRPr="0099494F">
        <w:rPr>
          <w:rFonts w:asciiTheme="majorBidi" w:hAnsiTheme="majorBidi" w:cstheme="majorBidi"/>
          <w:color w:val="000000"/>
          <w:sz w:val="28"/>
          <w:szCs w:val="28"/>
          <w:lang w:val="ro-RO"/>
        </w:rPr>
        <w:t xml:space="preserve">Oxidul de plumb din sticla becurilor pentru lămpile Black Light Blue (BLB). </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 xml:space="preserve">28. </w:t>
      </w:r>
      <w:r w:rsidRPr="0099494F">
        <w:rPr>
          <w:rFonts w:asciiTheme="majorBidi" w:hAnsiTheme="majorBidi" w:cstheme="majorBidi"/>
          <w:color w:val="000000"/>
          <w:sz w:val="28"/>
          <w:szCs w:val="28"/>
          <w:lang w:val="ro-RO"/>
        </w:rPr>
        <w:t xml:space="preserve">Aliajele de plumb ca aliaje de lipit pentru traductorii utilizați în difuzoarele de mare putere (proiectate să funcționeze pentru cîteva ore la nivelurile de putere acustică de 125 dB SPL și mai mari). </w:t>
      </w:r>
    </w:p>
    <w:p w:rsidR="00CB7BB3" w:rsidRPr="0099494F" w:rsidRDefault="00CB7BB3" w:rsidP="00CB7BB3">
      <w:pPr>
        <w:ind w:firstLine="709"/>
        <w:rPr>
          <w:rFonts w:asciiTheme="majorBidi" w:hAnsiTheme="majorBidi" w:cstheme="majorBidi"/>
          <w:b/>
          <w:color w:val="000000"/>
          <w:sz w:val="28"/>
          <w:szCs w:val="28"/>
          <w:lang w:val="ro-RO"/>
        </w:rPr>
      </w:pPr>
    </w:p>
    <w:p w:rsidR="00CB7BB3" w:rsidRPr="0099494F" w:rsidRDefault="00CB7BB3" w:rsidP="00CB7BB3">
      <w:pPr>
        <w:ind w:firstLine="709"/>
        <w:rPr>
          <w:rFonts w:asciiTheme="majorBidi" w:hAnsiTheme="majorBidi" w:cstheme="majorBidi"/>
          <w:color w:val="000000"/>
          <w:sz w:val="28"/>
          <w:szCs w:val="28"/>
          <w:lang w:val="ro-RO"/>
        </w:rPr>
      </w:pPr>
      <w:r w:rsidRPr="0099494F">
        <w:rPr>
          <w:rFonts w:asciiTheme="majorBidi" w:hAnsiTheme="majorBidi" w:cstheme="majorBidi"/>
          <w:b/>
          <w:color w:val="000000"/>
          <w:sz w:val="28"/>
          <w:szCs w:val="28"/>
          <w:lang w:val="ro-RO"/>
        </w:rPr>
        <w:t xml:space="preserve">29. </w:t>
      </w:r>
      <w:r w:rsidRPr="0099494F">
        <w:rPr>
          <w:rFonts w:asciiTheme="majorBidi" w:hAnsiTheme="majorBidi" w:cstheme="majorBidi"/>
          <w:color w:val="000000"/>
          <w:sz w:val="28"/>
          <w:szCs w:val="28"/>
          <w:lang w:val="ro-RO"/>
        </w:rPr>
        <w:t>Limitele de plumb în sticla de cristal.</w:t>
      </w:r>
    </w:p>
    <w:p w:rsidR="002739CE" w:rsidRPr="00CB7BB3" w:rsidRDefault="002739CE">
      <w:pPr>
        <w:rPr>
          <w:lang w:val="ro-RO"/>
        </w:rPr>
      </w:pPr>
    </w:p>
    <w:sectPr w:rsidR="002739CE" w:rsidRPr="00CB7BB3" w:rsidSect="002739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B7BB3"/>
    <w:rsid w:val="002739CE"/>
    <w:rsid w:val="00CB7B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BB3"/>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B7BB3"/>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BB3"/>
    <w:rPr>
      <w:rFonts w:ascii="Arial" w:eastAsia="Times New Roman" w:hAnsi="Arial" w:cs="Times New Roman"/>
      <w:b/>
      <w:kern w:val="28"/>
      <w:sz w:val="28"/>
      <w:szCs w:val="20"/>
      <w:lang w:val="en-US"/>
    </w:rPr>
  </w:style>
  <w:style w:type="character" w:customStyle="1" w:styleId="ax1">
    <w:name w:val="ax1"/>
    <w:basedOn w:val="DefaultParagraphFont"/>
    <w:rsid w:val="00CB7B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2018-03-23T13:25:00Z</dcterms:created>
  <dcterms:modified xsi:type="dcterms:W3CDTF">2018-03-23T13:25:00Z</dcterms:modified>
</cp:coreProperties>
</file>